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75DF" w14:textId="77777777" w:rsidR="00437C6E" w:rsidRDefault="00437C6E" w:rsidP="00C2477B">
      <w:pPr>
        <w:pStyle w:val="Heading1"/>
        <w:rPr>
          <w:noProof/>
        </w:rPr>
      </w:pPr>
      <w:r>
        <w:rPr>
          <w:noProof/>
        </w:rPr>
        <w:drawing>
          <wp:anchor distT="0" distB="0" distL="114300" distR="114300" simplePos="0" relativeHeight="251659264" behindDoc="0" locked="0" layoutInCell="1" allowOverlap="1" wp14:anchorId="158BA5BF" wp14:editId="296251A7">
            <wp:simplePos x="0" y="0"/>
            <wp:positionH relativeFrom="margin">
              <wp:posOffset>-161925</wp:posOffset>
            </wp:positionH>
            <wp:positionV relativeFrom="margin">
              <wp:posOffset>-66675</wp:posOffset>
            </wp:positionV>
            <wp:extent cx="1335405" cy="1609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C.jpg"/>
                    <pic:cNvPicPr/>
                  </pic:nvPicPr>
                  <pic:blipFill rotWithShape="1">
                    <a:blip r:embed="rId5">
                      <a:extLst>
                        <a:ext uri="{28A0092B-C50C-407E-A947-70E740481C1C}">
                          <a14:useLocalDpi xmlns:a14="http://schemas.microsoft.com/office/drawing/2010/main" val="0"/>
                        </a:ext>
                      </a:extLst>
                    </a:blip>
                    <a:srcRect l="23332" r="11667"/>
                    <a:stretch/>
                  </pic:blipFill>
                  <pic:spPr bwMode="auto">
                    <a:xfrm>
                      <a:off x="0" y="0"/>
                      <a:ext cx="1335405"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7C8ED" w14:textId="77777777" w:rsidR="00A64014" w:rsidRDefault="00C2477B" w:rsidP="00437C6E">
      <w:pPr>
        <w:pStyle w:val="Heading1"/>
        <w:jc w:val="center"/>
      </w:pPr>
      <w:r>
        <w:rPr>
          <w:noProof/>
        </w:rPr>
        <w:drawing>
          <wp:anchor distT="0" distB="0" distL="114300" distR="114300" simplePos="0" relativeHeight="251658240" behindDoc="0" locked="0" layoutInCell="1" allowOverlap="1" wp14:anchorId="3BE32F29" wp14:editId="15951A47">
            <wp:simplePos x="0" y="0"/>
            <wp:positionH relativeFrom="margin">
              <wp:posOffset>5144770</wp:posOffset>
            </wp:positionH>
            <wp:positionV relativeFrom="margin">
              <wp:posOffset>0</wp:posOffset>
            </wp:positionV>
            <wp:extent cx="789305"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305" cy="1619250"/>
                    </a:xfrm>
                    <a:prstGeom prst="rect">
                      <a:avLst/>
                    </a:prstGeom>
                  </pic:spPr>
                </pic:pic>
              </a:graphicData>
            </a:graphic>
            <wp14:sizeRelH relativeFrom="margin">
              <wp14:pctWidth>0</wp14:pctWidth>
            </wp14:sizeRelH>
            <wp14:sizeRelV relativeFrom="margin">
              <wp14:pctHeight>0</wp14:pctHeight>
            </wp14:sizeRelV>
          </wp:anchor>
        </w:drawing>
      </w:r>
      <w:r>
        <w:t>Concept Note for the Partnership with the Arab Youth Center</w:t>
      </w:r>
    </w:p>
    <w:p w14:paraId="3093E891" w14:textId="77777777" w:rsidR="00C2477B" w:rsidRDefault="00C2477B" w:rsidP="00C2477B">
      <w:pPr>
        <w:pStyle w:val="Heading2"/>
        <w:jc w:val="center"/>
      </w:pPr>
      <w:r>
        <w:t xml:space="preserve">Arab Youth Delegates </w:t>
      </w:r>
      <w:proofErr w:type="spellStart"/>
      <w:r>
        <w:t>Programme</w:t>
      </w:r>
      <w:proofErr w:type="spellEnd"/>
    </w:p>
    <w:p w14:paraId="354DCC8E" w14:textId="77777777" w:rsidR="00C2477B" w:rsidRDefault="00C2477B" w:rsidP="00C2477B">
      <w:pPr>
        <w:jc w:val="both"/>
      </w:pPr>
    </w:p>
    <w:p w14:paraId="04AD412D" w14:textId="77777777" w:rsidR="00C2477B" w:rsidRDefault="00C2477B" w:rsidP="00C2477B">
      <w:pPr>
        <w:pStyle w:val="Subtitle"/>
        <w:jc w:val="both"/>
      </w:pPr>
    </w:p>
    <w:p w14:paraId="05AA09CF" w14:textId="77777777" w:rsidR="00C2477B" w:rsidRDefault="00C2477B" w:rsidP="00C2477B">
      <w:pPr>
        <w:pStyle w:val="Subtitle"/>
        <w:jc w:val="both"/>
      </w:pPr>
    </w:p>
    <w:p w14:paraId="6746EEFD" w14:textId="77777777" w:rsidR="00C2477B" w:rsidRPr="00726F5F" w:rsidRDefault="00C2477B" w:rsidP="00C2477B">
      <w:pPr>
        <w:pStyle w:val="Subtitle"/>
        <w:jc w:val="both"/>
        <w:rPr>
          <w:b/>
          <w:bCs/>
          <w:color w:val="4472C4" w:themeColor="accent5"/>
          <w:sz w:val="24"/>
          <w:szCs w:val="24"/>
        </w:rPr>
      </w:pPr>
      <w:r w:rsidRPr="00726F5F">
        <w:rPr>
          <w:b/>
          <w:bCs/>
          <w:color w:val="4472C4" w:themeColor="accent5"/>
          <w:sz w:val="24"/>
          <w:szCs w:val="24"/>
        </w:rPr>
        <w:t>A New Partnership</w:t>
      </w:r>
    </w:p>
    <w:p w14:paraId="274B40DF" w14:textId="23672586" w:rsidR="003829D3" w:rsidRPr="00437C6E" w:rsidRDefault="00C2477B" w:rsidP="00C2477B">
      <w:pPr>
        <w:pStyle w:val="Subtitle"/>
        <w:jc w:val="both"/>
        <w:rPr>
          <w:color w:val="4472C4" w:themeColor="accent5"/>
        </w:rPr>
      </w:pPr>
      <w:r w:rsidRPr="00437C6E">
        <w:rPr>
          <w:color w:val="4472C4" w:themeColor="accent5"/>
        </w:rPr>
        <w:t>The Arab Youth Center</w:t>
      </w:r>
      <w:r w:rsidR="008E56F9">
        <w:rPr>
          <w:color w:val="4472C4" w:themeColor="accent5"/>
        </w:rPr>
        <w:t xml:space="preserve"> (AYC)</w:t>
      </w:r>
      <w:r w:rsidRPr="00437C6E">
        <w:rPr>
          <w:color w:val="4472C4" w:themeColor="accent5"/>
        </w:rPr>
        <w:t xml:space="preserve"> and UNDP’s The Youth Leadership </w:t>
      </w:r>
      <w:proofErr w:type="spellStart"/>
      <w:r w:rsidRPr="00437C6E">
        <w:rPr>
          <w:color w:val="4472C4" w:themeColor="accent5"/>
        </w:rPr>
        <w:t>Programme</w:t>
      </w:r>
      <w:proofErr w:type="spellEnd"/>
      <w:r w:rsidR="003829D3" w:rsidRPr="00437C6E">
        <w:rPr>
          <w:color w:val="4472C4" w:themeColor="accent5"/>
        </w:rPr>
        <w:t xml:space="preserve"> (YLP)</w:t>
      </w:r>
      <w:r w:rsidRPr="00437C6E">
        <w:rPr>
          <w:color w:val="4472C4" w:themeColor="accent5"/>
        </w:rPr>
        <w:t xml:space="preserve"> in the Arab States have partnered to achieve their common vision by ensuring that the wide-spread support for youth in the Arab region is met. </w:t>
      </w:r>
    </w:p>
    <w:p w14:paraId="0D046024" w14:textId="77777777" w:rsidR="00C2477B" w:rsidRPr="00437C6E" w:rsidRDefault="003829D3" w:rsidP="00A51BA9">
      <w:pPr>
        <w:pStyle w:val="Subtitle"/>
        <w:jc w:val="both"/>
        <w:rPr>
          <w:color w:val="4472C4" w:themeColor="accent5"/>
        </w:rPr>
      </w:pPr>
      <w:r w:rsidRPr="00437C6E">
        <w:rPr>
          <w:color w:val="4472C4" w:themeColor="accent5"/>
        </w:rPr>
        <w:t xml:space="preserve">In the pilot phase, </w:t>
      </w:r>
      <w:r w:rsidR="00C2477B" w:rsidRPr="00437C6E">
        <w:rPr>
          <w:color w:val="4472C4" w:themeColor="accent5"/>
        </w:rPr>
        <w:t>th</w:t>
      </w:r>
      <w:r w:rsidRPr="00437C6E">
        <w:rPr>
          <w:color w:val="4472C4" w:themeColor="accent5"/>
        </w:rPr>
        <w:t>e Arab Youth Center will fund eleven</w:t>
      </w:r>
      <w:r w:rsidR="00C2477B" w:rsidRPr="00437C6E">
        <w:rPr>
          <w:color w:val="4472C4" w:themeColor="accent5"/>
        </w:rPr>
        <w:t xml:space="preserve"> young people from the Arab region to work in 10 UNDP country offices and at the UNDP Regional Hub Amman. The objective of this assignment is to support</w:t>
      </w:r>
      <w:r w:rsidRPr="00437C6E">
        <w:rPr>
          <w:color w:val="4472C4" w:themeColor="accent5"/>
        </w:rPr>
        <w:t xml:space="preserve"> youth programming and</w:t>
      </w:r>
      <w:r w:rsidR="00C2477B" w:rsidRPr="00437C6E">
        <w:rPr>
          <w:color w:val="4472C4" w:themeColor="accent5"/>
        </w:rPr>
        <w:t xml:space="preserve"> the implementation </w:t>
      </w:r>
      <w:r w:rsidRPr="00437C6E">
        <w:rPr>
          <w:color w:val="4472C4" w:themeColor="accent5"/>
        </w:rPr>
        <w:t>YLP</w:t>
      </w:r>
      <w:r w:rsidR="00C2477B" w:rsidRPr="00437C6E">
        <w:rPr>
          <w:color w:val="4472C4" w:themeColor="accent5"/>
        </w:rPr>
        <w:t xml:space="preserve"> at the country level as well as the regional and global level. </w:t>
      </w:r>
      <w:r w:rsidRPr="00437C6E">
        <w:rPr>
          <w:color w:val="4472C4" w:themeColor="accent5"/>
        </w:rPr>
        <w:t xml:space="preserve">The recruited youth will work under the supervision and guidance of the UNDP Youth Focal Points both at the country and regional levels. </w:t>
      </w:r>
      <w:r w:rsidR="00C2477B" w:rsidRPr="00437C6E">
        <w:rPr>
          <w:color w:val="4472C4" w:themeColor="accent5"/>
        </w:rPr>
        <w:t xml:space="preserve">S/he will be an integral part of the Regional </w:t>
      </w:r>
      <w:proofErr w:type="spellStart"/>
      <w:r w:rsidR="00C2477B" w:rsidRPr="00437C6E">
        <w:rPr>
          <w:color w:val="4472C4" w:themeColor="accent5"/>
        </w:rPr>
        <w:t>Programme</w:t>
      </w:r>
      <w:proofErr w:type="spellEnd"/>
      <w:r w:rsidR="00C2477B" w:rsidRPr="00437C6E">
        <w:rPr>
          <w:color w:val="4472C4" w:themeColor="accent5"/>
        </w:rPr>
        <w:t xml:space="preserve"> team and will play an important role supporting UNDPs Country Offices and partners, with a strong focus on coordination, advocacy, planning, and evaluation.</w:t>
      </w:r>
    </w:p>
    <w:p w14:paraId="7BE8F03C" w14:textId="77777777" w:rsidR="00A51BA9" w:rsidRPr="00437C6E" w:rsidRDefault="00A51BA9" w:rsidP="00437C6E">
      <w:pPr>
        <w:rPr>
          <w:rFonts w:eastAsiaTheme="minorEastAsia"/>
          <w:color w:val="4472C4" w:themeColor="accent5"/>
          <w:spacing w:val="15"/>
        </w:rPr>
      </w:pPr>
      <w:r w:rsidRPr="00437C6E">
        <w:rPr>
          <w:rFonts w:eastAsiaTheme="minorEastAsia"/>
          <w:color w:val="4472C4" w:themeColor="accent5"/>
          <w:spacing w:val="15"/>
        </w:rPr>
        <w:t xml:space="preserve">This is an opportunity for the selected fellow to work closely with UNDP in the assigned country, familiarize themselves with the youth agenda and the national development plans and acquire a set of expertise to work with partners nationally, regionally and internationally. It will also facilitate a peer to peer learning to contribute to national and regional efforts for sustainable development. </w:t>
      </w:r>
      <w:r w:rsidR="00437C6E" w:rsidRPr="00437C6E">
        <w:rPr>
          <w:rFonts w:eastAsiaTheme="minorEastAsia"/>
          <w:color w:val="4472C4" w:themeColor="accent5"/>
          <w:spacing w:val="15"/>
        </w:rPr>
        <w:t>The selected youth cohort will engage together twice, once in the beginning of 2020 for an induction and the second time in the last quarter of 2020 for reflection.</w:t>
      </w:r>
    </w:p>
    <w:p w14:paraId="32551F9D" w14:textId="77777777" w:rsidR="00437C6E" w:rsidRPr="00437C6E" w:rsidRDefault="00437C6E" w:rsidP="00437C6E">
      <w:pPr>
        <w:rPr>
          <w:rFonts w:eastAsiaTheme="minorEastAsia"/>
          <w:color w:val="4472C4" w:themeColor="accent5"/>
          <w:spacing w:val="15"/>
        </w:rPr>
      </w:pPr>
    </w:p>
    <w:p w14:paraId="06AAA095" w14:textId="77777777" w:rsidR="00437C6E" w:rsidRPr="00C04040" w:rsidRDefault="00437C6E" w:rsidP="00437C6E">
      <w:pPr>
        <w:rPr>
          <w:rFonts w:eastAsiaTheme="minorEastAsia"/>
          <w:b/>
          <w:bCs/>
          <w:color w:val="4472C4" w:themeColor="accent5"/>
          <w:spacing w:val="15"/>
          <w:sz w:val="24"/>
          <w:szCs w:val="24"/>
        </w:rPr>
      </w:pPr>
      <w:r w:rsidRPr="00C04040">
        <w:rPr>
          <w:rFonts w:eastAsiaTheme="minorEastAsia"/>
          <w:b/>
          <w:bCs/>
          <w:color w:val="4472C4" w:themeColor="accent5"/>
          <w:spacing w:val="15"/>
          <w:sz w:val="24"/>
          <w:szCs w:val="24"/>
        </w:rPr>
        <w:t>Roles of the Youth</w:t>
      </w:r>
    </w:p>
    <w:p w14:paraId="5ADF1FBC" w14:textId="77777777" w:rsidR="00437C6E" w:rsidRPr="00437C6E" w:rsidRDefault="00437C6E" w:rsidP="00437C6E">
      <w:pPr>
        <w:rPr>
          <w:rFonts w:eastAsiaTheme="minorEastAsia"/>
          <w:color w:val="4472C4" w:themeColor="accent5"/>
          <w:spacing w:val="15"/>
          <w:lang w:val="en"/>
        </w:rPr>
      </w:pPr>
      <w:r w:rsidRPr="00437C6E">
        <w:rPr>
          <w:rFonts w:eastAsiaTheme="minorEastAsia"/>
          <w:color w:val="4472C4" w:themeColor="accent5"/>
          <w:spacing w:val="15"/>
          <w:lang w:val="en"/>
        </w:rPr>
        <w:t xml:space="preserve">Under the overall supervision of the UNDP’s Youth Focal Point, the youth in the Arab Region is expected to substantially contribute to the effective management of youth programming by performing the following duties: </w:t>
      </w:r>
    </w:p>
    <w:p w14:paraId="3CD1648F"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 xml:space="preserve">Directly supports the YLP, where relevant and/or youth programming by following up on implementation, coordinating with partners and UNDP Country Offices, accessing regional networks, creating linkages and providing technical support. </w:t>
      </w:r>
    </w:p>
    <w:p w14:paraId="480BA60E"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lastRenderedPageBreak/>
        <w:t xml:space="preserve">Contributes to strategic planning, developing innovative responses to emerging challenges and opportunities for youth in the Arab region around SDGs. </w:t>
      </w:r>
    </w:p>
    <w:p w14:paraId="01EE3457"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Supports the timely preparation and quality control of all substantive technical reports, briefs and required documents, including progress reports, concept notes, background documents and briefing notes.</w:t>
      </w:r>
    </w:p>
    <w:p w14:paraId="2A5AAB7F"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Works closely with the regional team members in the development of project activities to promote youth’s social, political and economic empowerment in the Arab region.</w:t>
      </w:r>
    </w:p>
    <w:p w14:paraId="73720253"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Facilitates the delivery of YLP activities by monitoring results achieved during implementation. S/he ensures and guides the appropriate application of monitoring, reporting and evaluation systems and procedures and develops enhancements if necessary.</w:t>
      </w:r>
    </w:p>
    <w:p w14:paraId="77D01D2A" w14:textId="77777777" w:rsid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Captures stories which reflect on know how (procedures, processes, tactics) and know why (lessons learned, reasons for failures/success).</w:t>
      </w:r>
    </w:p>
    <w:p w14:paraId="471751E2" w14:textId="17B01E50" w:rsidR="008E56F9" w:rsidRPr="00437C6E" w:rsidRDefault="008E56F9" w:rsidP="00437C6E">
      <w:pPr>
        <w:numPr>
          <w:ilvl w:val="0"/>
          <w:numId w:val="1"/>
        </w:numPr>
        <w:rPr>
          <w:rFonts w:eastAsiaTheme="minorEastAsia"/>
          <w:color w:val="4472C4" w:themeColor="accent5"/>
          <w:spacing w:val="15"/>
          <w:lang w:val="en"/>
        </w:rPr>
      </w:pPr>
      <w:r>
        <w:rPr>
          <w:rFonts w:eastAsiaTheme="minorEastAsia"/>
          <w:color w:val="4472C4" w:themeColor="accent5"/>
          <w:spacing w:val="15"/>
          <w:lang w:val="en"/>
        </w:rPr>
        <w:t xml:space="preserve">Coordinates the youth’s leadership </w:t>
      </w:r>
      <w:proofErr w:type="spellStart"/>
      <w:r>
        <w:rPr>
          <w:rFonts w:eastAsiaTheme="minorEastAsia"/>
          <w:color w:val="4472C4" w:themeColor="accent5"/>
          <w:spacing w:val="15"/>
          <w:lang w:val="en"/>
        </w:rPr>
        <w:t>programme’s</w:t>
      </w:r>
      <w:proofErr w:type="spellEnd"/>
      <w:r>
        <w:rPr>
          <w:rFonts w:eastAsiaTheme="minorEastAsia"/>
          <w:color w:val="4472C4" w:themeColor="accent5"/>
          <w:spacing w:val="15"/>
          <w:lang w:val="en"/>
        </w:rPr>
        <w:t xml:space="preserve"> mentorship support, where relevant. </w:t>
      </w:r>
    </w:p>
    <w:p w14:paraId="05FBCD92"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Conducts an overview and analysis of the relevant partners, donors and stakeholders to the project, and develops a plan for efficient flow of information between them and the project, and vice versa.</w:t>
      </w:r>
    </w:p>
    <w:p w14:paraId="280A1084" w14:textId="77777777" w:rsidR="00437C6E" w:rsidRP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Develops general tools/guidelines for operative communication measures at regional/national/local levels, for instance press releases, social media, press events, social media and campaigns.</w:t>
      </w:r>
    </w:p>
    <w:p w14:paraId="25284D74" w14:textId="4A3A54C7" w:rsidR="00437C6E" w:rsidRDefault="00437C6E" w:rsidP="00437C6E">
      <w:pPr>
        <w:numPr>
          <w:ilvl w:val="0"/>
          <w:numId w:val="1"/>
        </w:numPr>
        <w:rPr>
          <w:rFonts w:eastAsiaTheme="minorEastAsia"/>
          <w:color w:val="4472C4" w:themeColor="accent5"/>
          <w:spacing w:val="15"/>
          <w:lang w:val="en"/>
        </w:rPr>
      </w:pPr>
      <w:r w:rsidRPr="00437C6E">
        <w:rPr>
          <w:rFonts w:eastAsiaTheme="minorEastAsia"/>
          <w:color w:val="4472C4" w:themeColor="accent5"/>
          <w:spacing w:val="15"/>
          <w:lang w:val="en"/>
        </w:rPr>
        <w:t>Other tasks as assigned</w:t>
      </w:r>
      <w:r w:rsidR="008E56F9">
        <w:rPr>
          <w:rFonts w:eastAsiaTheme="minorEastAsia"/>
          <w:color w:val="4472C4" w:themeColor="accent5"/>
          <w:spacing w:val="15"/>
          <w:lang w:val="en"/>
        </w:rPr>
        <w:t xml:space="preserve"> by Regional Coordinator in coordination with respective </w:t>
      </w:r>
      <w:r w:rsidR="00026491">
        <w:rPr>
          <w:rFonts w:eastAsiaTheme="minorEastAsia"/>
          <w:color w:val="4472C4" w:themeColor="accent5"/>
          <w:spacing w:val="15"/>
          <w:lang w:val="en"/>
        </w:rPr>
        <w:t>supervisor</w:t>
      </w:r>
      <w:r w:rsidRPr="00437C6E">
        <w:rPr>
          <w:rFonts w:eastAsiaTheme="minorEastAsia"/>
          <w:color w:val="4472C4" w:themeColor="accent5"/>
          <w:spacing w:val="15"/>
          <w:lang w:val="en"/>
        </w:rPr>
        <w:t>, and any required administrative work.</w:t>
      </w:r>
    </w:p>
    <w:p w14:paraId="1DB83A04" w14:textId="0E3591AE" w:rsidR="0067631A" w:rsidRDefault="00C04040" w:rsidP="00C04040">
      <w:pPr>
        <w:rPr>
          <w:rFonts w:eastAsiaTheme="minorEastAsia"/>
          <w:color w:val="4472C4" w:themeColor="accent5"/>
          <w:spacing w:val="15"/>
          <w:lang w:val="en"/>
        </w:rPr>
      </w:pPr>
      <w:r w:rsidRPr="00C04040">
        <w:rPr>
          <w:rFonts w:eastAsiaTheme="minorEastAsia"/>
          <w:color w:val="4472C4" w:themeColor="accent5"/>
          <w:spacing w:val="15"/>
          <w:lang w:val="en"/>
        </w:rPr>
        <w:t>Each TOR will be tailored to the country context by the UNDP country office locally. AYC and UNDP will agree on broader criteria to include in all TORs.</w:t>
      </w:r>
    </w:p>
    <w:p w14:paraId="16302925" w14:textId="77777777" w:rsidR="00437C6E" w:rsidRPr="00CA7496" w:rsidRDefault="00437C6E" w:rsidP="00CA7496">
      <w:pPr>
        <w:ind w:left="720"/>
        <w:rPr>
          <w:rFonts w:eastAsiaTheme="minorEastAsia"/>
          <w:color w:val="4472C4" w:themeColor="accent5"/>
          <w:spacing w:val="15"/>
          <w:lang w:val="en"/>
        </w:rPr>
      </w:pPr>
    </w:p>
    <w:p w14:paraId="50A7274A" w14:textId="77777777" w:rsidR="00437C6E" w:rsidRPr="00C04040" w:rsidRDefault="00437C6E" w:rsidP="00437C6E">
      <w:pPr>
        <w:rPr>
          <w:rFonts w:eastAsiaTheme="minorEastAsia"/>
          <w:b/>
          <w:bCs/>
          <w:color w:val="4472C4" w:themeColor="accent5"/>
          <w:spacing w:val="15"/>
          <w:sz w:val="24"/>
          <w:szCs w:val="24"/>
        </w:rPr>
      </w:pPr>
      <w:r w:rsidRPr="00C04040">
        <w:rPr>
          <w:rFonts w:eastAsiaTheme="minorEastAsia"/>
          <w:b/>
          <w:bCs/>
          <w:color w:val="4472C4" w:themeColor="accent5"/>
          <w:spacing w:val="15"/>
          <w:sz w:val="24"/>
          <w:szCs w:val="24"/>
        </w:rPr>
        <w:t xml:space="preserve">Youth Recruitment </w:t>
      </w:r>
    </w:p>
    <w:p w14:paraId="52EE7142" w14:textId="77777777" w:rsidR="0067631A" w:rsidRDefault="00437C6E" w:rsidP="00061321">
      <w:pPr>
        <w:rPr>
          <w:rFonts w:eastAsiaTheme="minorEastAsia"/>
          <w:color w:val="4472C4" w:themeColor="accent5"/>
          <w:spacing w:val="15"/>
          <w:lang w:val="en-GB"/>
        </w:rPr>
      </w:pPr>
      <w:r w:rsidRPr="00437C6E">
        <w:rPr>
          <w:rFonts w:eastAsiaTheme="minorEastAsia"/>
          <w:color w:val="4472C4" w:themeColor="accent5"/>
          <w:spacing w:val="15"/>
          <w:lang w:val="en-GB"/>
        </w:rPr>
        <w:t xml:space="preserve">The proposed list of suggested countries by the UNDP currently includes: </w:t>
      </w:r>
    </w:p>
    <w:tbl>
      <w:tblPr>
        <w:tblStyle w:val="PlainTable4"/>
        <w:tblW w:w="0" w:type="auto"/>
        <w:tblLook w:val="04A0" w:firstRow="1" w:lastRow="0" w:firstColumn="1" w:lastColumn="0" w:noHBand="0" w:noVBand="1"/>
      </w:tblPr>
      <w:tblGrid>
        <w:gridCol w:w="2605"/>
        <w:gridCol w:w="3330"/>
      </w:tblGrid>
      <w:tr w:rsidR="006A3567" w14:paraId="4A5A7674" w14:textId="77777777" w:rsidTr="006A3567">
        <w:trPr>
          <w:cnfStyle w:val="100000000000" w:firstRow="1" w:lastRow="0" w:firstColumn="0" w:lastColumn="0" w:oddVBand="0" w:evenVBand="0" w:oddHBand="0"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605" w:type="dxa"/>
          </w:tcPr>
          <w:p w14:paraId="0B7F2645" w14:textId="77777777" w:rsidR="006A3567" w:rsidRPr="006A3567" w:rsidRDefault="006A3567" w:rsidP="006A3567">
            <w:pPr>
              <w:numPr>
                <w:ilvl w:val="0"/>
                <w:numId w:val="2"/>
              </w:numPr>
              <w:rPr>
                <w:rFonts w:eastAsiaTheme="minorEastAsia"/>
                <w:color w:val="4472C4" w:themeColor="accent5"/>
                <w:spacing w:val="15"/>
                <w:lang w:val="en-GB"/>
              </w:rPr>
            </w:pPr>
            <w:r w:rsidRPr="006A3567">
              <w:rPr>
                <w:rFonts w:eastAsiaTheme="minorEastAsia"/>
                <w:color w:val="4472C4" w:themeColor="accent5"/>
                <w:spacing w:val="15"/>
                <w:lang w:val="en-GB"/>
              </w:rPr>
              <w:t>Bahrain</w:t>
            </w:r>
          </w:p>
          <w:p w14:paraId="27EBEEA6" w14:textId="77777777" w:rsidR="006A3567" w:rsidRPr="006A3567" w:rsidRDefault="006A3567" w:rsidP="006A3567">
            <w:pPr>
              <w:numPr>
                <w:ilvl w:val="0"/>
                <w:numId w:val="2"/>
              </w:numPr>
              <w:rPr>
                <w:rFonts w:eastAsiaTheme="minorEastAsia"/>
                <w:color w:val="4472C4" w:themeColor="accent5"/>
                <w:spacing w:val="15"/>
                <w:lang w:val="en-GB"/>
              </w:rPr>
            </w:pPr>
            <w:r w:rsidRPr="006A3567">
              <w:rPr>
                <w:rFonts w:eastAsiaTheme="minorEastAsia"/>
                <w:color w:val="4472C4" w:themeColor="accent5"/>
                <w:spacing w:val="15"/>
                <w:lang w:val="en-GB"/>
              </w:rPr>
              <w:t xml:space="preserve"> Djibouti</w:t>
            </w:r>
          </w:p>
          <w:p w14:paraId="212F1805" w14:textId="77777777" w:rsidR="006A3567" w:rsidRPr="006A3567" w:rsidRDefault="006A3567" w:rsidP="006A3567">
            <w:pPr>
              <w:numPr>
                <w:ilvl w:val="0"/>
                <w:numId w:val="2"/>
              </w:numPr>
              <w:rPr>
                <w:rFonts w:eastAsiaTheme="minorEastAsia"/>
                <w:color w:val="4472C4" w:themeColor="accent5"/>
                <w:spacing w:val="15"/>
                <w:lang w:val="en-GB"/>
              </w:rPr>
            </w:pPr>
            <w:r w:rsidRPr="006A3567">
              <w:rPr>
                <w:rFonts w:eastAsiaTheme="minorEastAsia"/>
                <w:color w:val="4472C4" w:themeColor="accent5"/>
                <w:spacing w:val="15"/>
                <w:lang w:val="en-GB"/>
              </w:rPr>
              <w:t xml:space="preserve"> Egypt</w:t>
            </w:r>
          </w:p>
          <w:p w14:paraId="26B936C2" w14:textId="77777777" w:rsidR="006A3567" w:rsidRPr="006A3567" w:rsidRDefault="006A3567" w:rsidP="006A3567">
            <w:pPr>
              <w:numPr>
                <w:ilvl w:val="0"/>
                <w:numId w:val="2"/>
              </w:numPr>
              <w:rPr>
                <w:rFonts w:eastAsiaTheme="minorEastAsia"/>
                <w:color w:val="4472C4" w:themeColor="accent5"/>
                <w:spacing w:val="15"/>
                <w:lang w:val="en-GB"/>
              </w:rPr>
            </w:pPr>
            <w:r w:rsidRPr="006A3567">
              <w:rPr>
                <w:rFonts w:eastAsiaTheme="minorEastAsia"/>
                <w:color w:val="4472C4" w:themeColor="accent5"/>
                <w:spacing w:val="15"/>
                <w:lang w:val="en-GB"/>
              </w:rPr>
              <w:t xml:space="preserve"> Jordan</w:t>
            </w:r>
          </w:p>
          <w:p w14:paraId="2A767A22" w14:textId="77777777" w:rsidR="006A3567" w:rsidRPr="006A3567" w:rsidRDefault="006A3567" w:rsidP="006A3567">
            <w:pPr>
              <w:numPr>
                <w:ilvl w:val="0"/>
                <w:numId w:val="2"/>
              </w:numPr>
              <w:rPr>
                <w:rFonts w:eastAsiaTheme="minorEastAsia"/>
                <w:color w:val="4472C4" w:themeColor="accent5"/>
                <w:spacing w:val="15"/>
                <w:lang w:val="en-GB"/>
              </w:rPr>
            </w:pPr>
            <w:r w:rsidRPr="006A3567">
              <w:rPr>
                <w:rFonts w:eastAsiaTheme="minorEastAsia"/>
                <w:color w:val="4472C4" w:themeColor="accent5"/>
                <w:spacing w:val="15"/>
                <w:lang w:val="en-GB"/>
              </w:rPr>
              <w:t xml:space="preserve"> Lebanon</w:t>
            </w:r>
          </w:p>
          <w:p w14:paraId="2FB51D4A" w14:textId="77777777" w:rsidR="006A3567" w:rsidRDefault="006A3567" w:rsidP="006A3567">
            <w:pPr>
              <w:ind w:left="720"/>
              <w:rPr>
                <w:rFonts w:eastAsiaTheme="minorEastAsia"/>
                <w:color w:val="4472C4" w:themeColor="accent5"/>
                <w:spacing w:val="15"/>
                <w:lang w:val="en-GB"/>
              </w:rPr>
            </w:pPr>
          </w:p>
        </w:tc>
        <w:tc>
          <w:tcPr>
            <w:tcW w:w="3330" w:type="dxa"/>
          </w:tcPr>
          <w:p w14:paraId="530CFE92" w14:textId="77777777" w:rsidR="006A3567" w:rsidRPr="006A3567" w:rsidRDefault="006A3567" w:rsidP="006A3567">
            <w:pPr>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r w:rsidRPr="006A3567">
              <w:rPr>
                <w:rFonts w:eastAsiaTheme="minorEastAsia"/>
                <w:color w:val="4472C4" w:themeColor="accent5"/>
                <w:spacing w:val="15"/>
                <w:lang w:val="en-GB"/>
              </w:rPr>
              <w:t>Morocco</w:t>
            </w:r>
          </w:p>
          <w:p w14:paraId="348EFFAE" w14:textId="77777777" w:rsidR="006A3567" w:rsidRPr="006A3567" w:rsidRDefault="006A3567" w:rsidP="006A3567">
            <w:pPr>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r w:rsidRPr="006A3567">
              <w:rPr>
                <w:rFonts w:eastAsiaTheme="minorEastAsia"/>
                <w:color w:val="4472C4" w:themeColor="accent5"/>
                <w:spacing w:val="15"/>
                <w:lang w:val="en-GB"/>
              </w:rPr>
              <w:t xml:space="preserve"> Palestine</w:t>
            </w:r>
          </w:p>
          <w:p w14:paraId="6CF38B7A" w14:textId="77777777" w:rsidR="006A3567" w:rsidRPr="006A3567" w:rsidRDefault="006A3567" w:rsidP="006A3567">
            <w:pPr>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r w:rsidRPr="006A3567">
              <w:rPr>
                <w:rFonts w:eastAsiaTheme="minorEastAsia"/>
                <w:color w:val="4472C4" w:themeColor="accent5"/>
                <w:spacing w:val="15"/>
                <w:lang w:val="en-GB"/>
              </w:rPr>
              <w:t xml:space="preserve"> Syria</w:t>
            </w:r>
          </w:p>
          <w:p w14:paraId="563ABC48" w14:textId="77777777" w:rsidR="006A3567" w:rsidRPr="006A3567" w:rsidRDefault="006A3567" w:rsidP="006A3567">
            <w:pPr>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r w:rsidRPr="006A3567">
              <w:rPr>
                <w:rFonts w:eastAsiaTheme="minorEastAsia"/>
                <w:color w:val="4472C4" w:themeColor="accent5"/>
                <w:spacing w:val="15"/>
                <w:lang w:val="en-GB"/>
              </w:rPr>
              <w:t>Somali</w:t>
            </w:r>
          </w:p>
          <w:p w14:paraId="265604D4" w14:textId="77777777" w:rsidR="006A3567" w:rsidRPr="006A3567" w:rsidRDefault="006A3567" w:rsidP="006A3567">
            <w:pPr>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r w:rsidRPr="006A3567">
              <w:rPr>
                <w:rFonts w:eastAsiaTheme="minorEastAsia"/>
                <w:color w:val="4472C4" w:themeColor="accent5"/>
                <w:spacing w:val="15"/>
                <w:lang w:val="en-GB"/>
              </w:rPr>
              <w:t xml:space="preserve"> Tunisia</w:t>
            </w:r>
          </w:p>
          <w:p w14:paraId="4D03F75B" w14:textId="77777777" w:rsidR="006A3567" w:rsidRPr="006A3567" w:rsidRDefault="006A3567" w:rsidP="006A3567">
            <w:pPr>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r w:rsidRPr="006A3567">
              <w:rPr>
                <w:rFonts w:eastAsiaTheme="minorEastAsia"/>
                <w:color w:val="4472C4" w:themeColor="accent5"/>
                <w:spacing w:val="15"/>
                <w:lang w:val="en-GB"/>
              </w:rPr>
              <w:t>RBAS Hub (In Jordan)</w:t>
            </w:r>
          </w:p>
          <w:p w14:paraId="52315A1A" w14:textId="77777777" w:rsidR="006A3567" w:rsidRDefault="006A3567" w:rsidP="008E56F9">
            <w:pPr>
              <w:cnfStyle w:val="100000000000" w:firstRow="1" w:lastRow="0" w:firstColumn="0" w:lastColumn="0" w:oddVBand="0" w:evenVBand="0" w:oddHBand="0" w:evenHBand="0" w:firstRowFirstColumn="0" w:firstRowLastColumn="0" w:lastRowFirstColumn="0" w:lastRowLastColumn="0"/>
              <w:rPr>
                <w:rFonts w:eastAsiaTheme="minorEastAsia"/>
                <w:color w:val="4472C4" w:themeColor="accent5"/>
                <w:spacing w:val="15"/>
                <w:lang w:val="en-GB"/>
              </w:rPr>
            </w:pPr>
          </w:p>
        </w:tc>
      </w:tr>
    </w:tbl>
    <w:p w14:paraId="379B1A39" w14:textId="0716366E" w:rsidR="00437C6E" w:rsidRDefault="00437C6E" w:rsidP="008E56F9">
      <w:pPr>
        <w:ind w:left="360"/>
        <w:rPr>
          <w:rFonts w:eastAsiaTheme="minorEastAsia"/>
          <w:color w:val="4472C4" w:themeColor="accent5"/>
          <w:spacing w:val="15"/>
          <w:lang w:val="en-GB"/>
        </w:rPr>
      </w:pPr>
      <w:r w:rsidRPr="002B79BE">
        <w:rPr>
          <w:rFonts w:eastAsiaTheme="minorEastAsia"/>
          <w:color w:val="4472C4" w:themeColor="accent5"/>
          <w:spacing w:val="15"/>
          <w:lang w:val="en-GB"/>
        </w:rPr>
        <w:t xml:space="preserve">The </w:t>
      </w:r>
      <w:r w:rsidR="00061321" w:rsidRPr="002B79BE">
        <w:rPr>
          <w:rFonts w:eastAsiaTheme="minorEastAsia"/>
          <w:color w:val="4472C4" w:themeColor="accent5"/>
          <w:spacing w:val="15"/>
          <w:lang w:val="en-GB"/>
        </w:rPr>
        <w:t>AYC</w:t>
      </w:r>
      <w:r w:rsidRPr="002B79BE">
        <w:rPr>
          <w:rFonts w:eastAsiaTheme="minorEastAsia"/>
          <w:color w:val="4472C4" w:themeColor="accent5"/>
          <w:spacing w:val="15"/>
          <w:lang w:val="en-GB"/>
        </w:rPr>
        <w:t xml:space="preserve"> will provide their preferred criteria for the candidates applying to the program, whi</w:t>
      </w:r>
      <w:r w:rsidR="00D87C93" w:rsidRPr="002B79BE">
        <w:rPr>
          <w:rFonts w:eastAsiaTheme="minorEastAsia"/>
          <w:color w:val="4472C4" w:themeColor="accent5"/>
          <w:spacing w:val="15"/>
          <w:lang w:val="en-GB"/>
        </w:rPr>
        <w:t>ch UNDP will integrate to tailor</w:t>
      </w:r>
      <w:r w:rsidRPr="002B79BE">
        <w:rPr>
          <w:rFonts w:eastAsiaTheme="minorEastAsia"/>
          <w:color w:val="4472C4" w:themeColor="accent5"/>
          <w:spacing w:val="15"/>
          <w:lang w:val="en-GB"/>
        </w:rPr>
        <w:t xml:space="preserve"> a TOR with each respective country </w:t>
      </w:r>
      <w:r w:rsidRPr="002B79BE">
        <w:rPr>
          <w:rFonts w:eastAsiaTheme="minorEastAsia"/>
          <w:color w:val="4472C4" w:themeColor="accent5"/>
          <w:spacing w:val="15"/>
          <w:lang w:val="en-GB"/>
        </w:rPr>
        <w:lastRenderedPageBreak/>
        <w:t>office. The recruitment process and placement of the delegates will fall with the regional and country offices of UNDP. A program coordinator to be hired under the project budget and will be placed in Amman under the supervision of the Regional Youth Focal Point, and will be the focal point between AYC, UNDP Regional, and the selected youth</w:t>
      </w:r>
      <w:r w:rsidR="008E56F9">
        <w:rPr>
          <w:rFonts w:eastAsiaTheme="minorEastAsia"/>
          <w:color w:val="4472C4" w:themeColor="accent5"/>
          <w:spacing w:val="15"/>
          <w:lang w:val="en-GB"/>
        </w:rPr>
        <w:t xml:space="preserve"> under the supervision of UNDP respective country Offices</w:t>
      </w:r>
      <w:r w:rsidRPr="002B79BE">
        <w:rPr>
          <w:rFonts w:eastAsiaTheme="minorEastAsia"/>
          <w:color w:val="4472C4" w:themeColor="accent5"/>
          <w:spacing w:val="15"/>
          <w:lang w:val="en-GB"/>
        </w:rPr>
        <w:t xml:space="preserve">. Upon their selection, the delegates will be considered as UNDP staff with a one-year service contract in the UNDP regional (1) and country offices (10).  </w:t>
      </w:r>
    </w:p>
    <w:p w14:paraId="69114125" w14:textId="08DDC06D" w:rsidR="00D87C93" w:rsidRDefault="00993EBC" w:rsidP="00437C6E">
      <w:pPr>
        <w:rPr>
          <w:rFonts w:eastAsiaTheme="minorEastAsia"/>
          <w:color w:val="4472C4" w:themeColor="accent5"/>
          <w:spacing w:val="15"/>
          <w:sz w:val="24"/>
          <w:szCs w:val="24"/>
          <w:lang w:val="en-GB"/>
        </w:rPr>
      </w:pPr>
      <w:r>
        <w:rPr>
          <w:rFonts w:eastAsiaTheme="minorEastAsia"/>
          <w:color w:val="4472C4" w:themeColor="accent5"/>
          <w:spacing w:val="15"/>
          <w:lang w:val="en-GB"/>
        </w:rPr>
        <w:t xml:space="preserve">The start of the program is expected to be January 2020. </w:t>
      </w:r>
    </w:p>
    <w:p w14:paraId="473464FB" w14:textId="77777777" w:rsidR="00C04040" w:rsidRDefault="00C04040" w:rsidP="00437C6E">
      <w:pPr>
        <w:rPr>
          <w:rFonts w:eastAsiaTheme="minorEastAsia"/>
          <w:b/>
          <w:bCs/>
          <w:color w:val="4472C4" w:themeColor="accent5"/>
          <w:spacing w:val="15"/>
          <w:sz w:val="24"/>
          <w:szCs w:val="24"/>
          <w:lang w:val="en-GB"/>
        </w:rPr>
      </w:pPr>
    </w:p>
    <w:p w14:paraId="55FD0A39" w14:textId="3626BFD2" w:rsidR="00437C6E" w:rsidRPr="00C04040" w:rsidRDefault="00437C6E" w:rsidP="00437C6E">
      <w:pPr>
        <w:rPr>
          <w:rFonts w:eastAsiaTheme="minorEastAsia"/>
          <w:b/>
          <w:bCs/>
          <w:color w:val="4472C4" w:themeColor="accent5"/>
          <w:spacing w:val="15"/>
          <w:sz w:val="24"/>
          <w:szCs w:val="24"/>
          <w:lang w:val="en-GB"/>
        </w:rPr>
      </w:pPr>
      <w:r w:rsidRPr="00C04040">
        <w:rPr>
          <w:rFonts w:eastAsiaTheme="minorEastAsia"/>
          <w:b/>
          <w:bCs/>
          <w:color w:val="4472C4" w:themeColor="accent5"/>
          <w:spacing w:val="15"/>
          <w:sz w:val="24"/>
          <w:szCs w:val="24"/>
          <w:lang w:val="en-GB"/>
        </w:rPr>
        <w:t xml:space="preserve">Agreement </w:t>
      </w:r>
      <w:r w:rsidR="003C0202" w:rsidRPr="00C04040">
        <w:rPr>
          <w:rFonts w:eastAsiaTheme="minorEastAsia"/>
          <w:b/>
          <w:bCs/>
          <w:color w:val="4472C4" w:themeColor="accent5"/>
          <w:spacing w:val="15"/>
          <w:sz w:val="24"/>
          <w:szCs w:val="24"/>
          <w:lang w:val="en-GB"/>
        </w:rPr>
        <w:t xml:space="preserve">signing </w:t>
      </w:r>
      <w:r w:rsidR="005867AC">
        <w:rPr>
          <w:rFonts w:eastAsiaTheme="minorEastAsia"/>
          <w:b/>
          <w:bCs/>
          <w:color w:val="4472C4" w:themeColor="accent5"/>
          <w:spacing w:val="15"/>
          <w:sz w:val="24"/>
          <w:szCs w:val="24"/>
          <w:lang w:val="en-GB"/>
        </w:rPr>
        <w:t xml:space="preserve">and Program Announcement </w:t>
      </w:r>
    </w:p>
    <w:p w14:paraId="2BB8BA37" w14:textId="454FA971" w:rsidR="00C04040" w:rsidRPr="005867AC" w:rsidRDefault="00437C6E" w:rsidP="005867AC">
      <w:pPr>
        <w:rPr>
          <w:rFonts w:eastAsiaTheme="minorEastAsia"/>
          <w:color w:val="4472C4" w:themeColor="accent5"/>
          <w:spacing w:val="15"/>
          <w:lang w:val="en-GB"/>
        </w:rPr>
      </w:pPr>
      <w:r w:rsidRPr="00437C6E">
        <w:rPr>
          <w:rFonts w:eastAsiaTheme="minorEastAsia"/>
          <w:color w:val="4472C4" w:themeColor="accent5"/>
          <w:spacing w:val="15"/>
          <w:lang w:val="en-GB"/>
        </w:rPr>
        <w:t xml:space="preserve">The Arab Youth Delegates program </w:t>
      </w:r>
      <w:r w:rsidR="003C0202">
        <w:rPr>
          <w:rFonts w:eastAsiaTheme="minorEastAsia"/>
          <w:color w:val="4472C4" w:themeColor="accent5"/>
          <w:spacing w:val="15"/>
          <w:lang w:val="en-GB"/>
        </w:rPr>
        <w:t xml:space="preserve">agreement </w:t>
      </w:r>
      <w:r w:rsidRPr="00437C6E">
        <w:rPr>
          <w:rFonts w:eastAsiaTheme="minorEastAsia"/>
          <w:color w:val="4472C4" w:themeColor="accent5"/>
          <w:spacing w:val="15"/>
          <w:lang w:val="en-GB"/>
        </w:rPr>
        <w:t xml:space="preserve">signing </w:t>
      </w:r>
      <w:r w:rsidR="00C04040">
        <w:rPr>
          <w:rFonts w:eastAsiaTheme="minorEastAsia"/>
          <w:color w:val="4472C4" w:themeColor="accent5"/>
          <w:spacing w:val="15"/>
          <w:lang w:val="en-GB"/>
        </w:rPr>
        <w:t xml:space="preserve">meeting </w:t>
      </w:r>
      <w:r w:rsidRPr="00437C6E">
        <w:rPr>
          <w:rFonts w:eastAsiaTheme="minorEastAsia"/>
          <w:color w:val="4472C4" w:themeColor="accent5"/>
          <w:spacing w:val="15"/>
          <w:lang w:val="en-GB"/>
        </w:rPr>
        <w:t xml:space="preserve">between H.E. </w:t>
      </w:r>
      <w:proofErr w:type="spellStart"/>
      <w:r w:rsidRPr="00437C6E">
        <w:rPr>
          <w:rFonts w:eastAsiaTheme="minorEastAsia"/>
          <w:color w:val="4472C4" w:themeColor="accent5"/>
          <w:spacing w:val="15"/>
          <w:lang w:val="en-GB"/>
        </w:rPr>
        <w:t>Shamma</w:t>
      </w:r>
      <w:proofErr w:type="spellEnd"/>
      <w:r w:rsidRPr="00437C6E">
        <w:rPr>
          <w:rFonts w:eastAsiaTheme="minorEastAsia"/>
          <w:color w:val="4472C4" w:themeColor="accent5"/>
          <w:spacing w:val="15"/>
          <w:lang w:val="en-GB"/>
        </w:rPr>
        <w:t xml:space="preserve"> Al </w:t>
      </w:r>
      <w:proofErr w:type="spellStart"/>
      <w:r w:rsidRPr="00437C6E">
        <w:rPr>
          <w:rFonts w:eastAsiaTheme="minorEastAsia"/>
          <w:color w:val="4472C4" w:themeColor="accent5"/>
          <w:spacing w:val="15"/>
          <w:lang w:val="en-GB"/>
        </w:rPr>
        <w:t>Mazroui</w:t>
      </w:r>
      <w:proofErr w:type="spellEnd"/>
      <w:r w:rsidR="008E56F9">
        <w:rPr>
          <w:rFonts w:eastAsiaTheme="minorEastAsia"/>
          <w:color w:val="4472C4" w:themeColor="accent5"/>
          <w:spacing w:val="15"/>
          <w:lang w:val="en-GB"/>
        </w:rPr>
        <w:t>, UAE State Minister for Youth Affairs</w:t>
      </w:r>
      <w:r w:rsidRPr="00437C6E">
        <w:rPr>
          <w:rFonts w:eastAsiaTheme="minorEastAsia"/>
          <w:color w:val="4472C4" w:themeColor="accent5"/>
          <w:spacing w:val="15"/>
          <w:lang w:val="en-GB"/>
        </w:rPr>
        <w:t xml:space="preserve"> and Mr. </w:t>
      </w:r>
      <w:proofErr w:type="spellStart"/>
      <w:r w:rsidRPr="00437C6E">
        <w:rPr>
          <w:rFonts w:eastAsiaTheme="minorEastAsia"/>
          <w:color w:val="4472C4" w:themeColor="accent5"/>
          <w:spacing w:val="15"/>
          <w:lang w:val="en-GB"/>
        </w:rPr>
        <w:t>Mourad</w:t>
      </w:r>
      <w:proofErr w:type="spellEnd"/>
      <w:r w:rsidRPr="00437C6E">
        <w:rPr>
          <w:rFonts w:eastAsiaTheme="minorEastAsia"/>
          <w:color w:val="4472C4" w:themeColor="accent5"/>
          <w:spacing w:val="15"/>
          <w:lang w:val="en-GB"/>
        </w:rPr>
        <w:t xml:space="preserve"> </w:t>
      </w:r>
      <w:proofErr w:type="spellStart"/>
      <w:r w:rsidRPr="00437C6E">
        <w:rPr>
          <w:rFonts w:eastAsiaTheme="minorEastAsia"/>
          <w:color w:val="4472C4" w:themeColor="accent5"/>
          <w:spacing w:val="15"/>
          <w:lang w:val="en-GB"/>
        </w:rPr>
        <w:t>Wahba</w:t>
      </w:r>
      <w:proofErr w:type="spellEnd"/>
      <w:r w:rsidRPr="00437C6E">
        <w:rPr>
          <w:rFonts w:eastAsiaTheme="minorEastAsia"/>
          <w:color w:val="4472C4" w:themeColor="accent5"/>
          <w:spacing w:val="15"/>
          <w:lang w:val="en-GB"/>
        </w:rPr>
        <w:t xml:space="preserve">, UNDP Director for Arab States </w:t>
      </w:r>
      <w:r w:rsidR="00C04040">
        <w:rPr>
          <w:rFonts w:eastAsiaTheme="minorEastAsia"/>
          <w:color w:val="4472C4" w:themeColor="accent5"/>
          <w:spacing w:val="15"/>
          <w:lang w:val="en-GB"/>
        </w:rPr>
        <w:t>will take place on 2</w:t>
      </w:r>
      <w:r w:rsidR="005867AC">
        <w:rPr>
          <w:rFonts w:eastAsiaTheme="minorEastAsia"/>
          <w:color w:val="4472C4" w:themeColor="accent5"/>
          <w:spacing w:val="15"/>
          <w:lang w:val="en-GB"/>
        </w:rPr>
        <w:t>0</w:t>
      </w:r>
      <w:r w:rsidR="005867AC" w:rsidRPr="005867AC">
        <w:rPr>
          <w:rFonts w:eastAsiaTheme="minorEastAsia"/>
          <w:color w:val="4472C4" w:themeColor="accent5"/>
          <w:spacing w:val="15"/>
          <w:vertAlign w:val="superscript"/>
          <w:lang w:val="en-GB"/>
        </w:rPr>
        <w:t>th</w:t>
      </w:r>
      <w:r w:rsidR="005867AC">
        <w:rPr>
          <w:rFonts w:eastAsiaTheme="minorEastAsia"/>
          <w:color w:val="4472C4" w:themeColor="accent5"/>
          <w:spacing w:val="15"/>
          <w:lang w:val="en-GB"/>
        </w:rPr>
        <w:t xml:space="preserve"> </w:t>
      </w:r>
      <w:r w:rsidR="00C04040">
        <w:rPr>
          <w:rFonts w:eastAsiaTheme="minorEastAsia"/>
          <w:color w:val="4472C4" w:themeColor="accent5"/>
          <w:spacing w:val="15"/>
          <w:lang w:val="en-GB"/>
        </w:rPr>
        <w:t xml:space="preserve">September 2019 </w:t>
      </w:r>
      <w:r w:rsidRPr="00437C6E">
        <w:rPr>
          <w:rFonts w:eastAsiaTheme="minorEastAsia"/>
          <w:color w:val="4472C4" w:themeColor="accent5"/>
          <w:spacing w:val="15"/>
          <w:lang w:val="en-GB"/>
        </w:rPr>
        <w:t xml:space="preserve">on the side-lines of UNGA at DC-1, at UNDP’s Office. </w:t>
      </w:r>
      <w:r w:rsidR="005867AC">
        <w:rPr>
          <w:rFonts w:eastAsiaTheme="minorEastAsia"/>
          <w:color w:val="4472C4" w:themeColor="accent5"/>
          <w:spacing w:val="15"/>
          <w:lang w:val="en-GB"/>
        </w:rPr>
        <w:t xml:space="preserve">A </w:t>
      </w:r>
      <w:r w:rsidR="005867AC">
        <w:rPr>
          <w:rFonts w:eastAsiaTheme="minorEastAsia"/>
          <w:color w:val="4472C4" w:themeColor="accent5"/>
          <w:spacing w:val="15"/>
          <w:lang w:val="en"/>
        </w:rPr>
        <w:t xml:space="preserve">press release will be prepared </w:t>
      </w:r>
      <w:r w:rsidR="005867AC" w:rsidRPr="00437C6E">
        <w:rPr>
          <w:rFonts w:eastAsiaTheme="minorEastAsia"/>
          <w:color w:val="4472C4" w:themeColor="accent5"/>
          <w:spacing w:val="15"/>
          <w:lang w:val="en-GB"/>
        </w:rPr>
        <w:t xml:space="preserve">by UNDP </w:t>
      </w:r>
      <w:r w:rsidR="005867AC">
        <w:rPr>
          <w:rFonts w:eastAsiaTheme="minorEastAsia"/>
          <w:color w:val="4472C4" w:themeColor="accent5"/>
          <w:spacing w:val="15"/>
          <w:lang w:val="en-GB"/>
        </w:rPr>
        <w:t xml:space="preserve">and the Arab Youth </w:t>
      </w:r>
      <w:proofErr w:type="spellStart"/>
      <w:r w:rsidR="005867AC">
        <w:rPr>
          <w:rFonts w:eastAsiaTheme="minorEastAsia"/>
          <w:color w:val="4472C4" w:themeColor="accent5"/>
          <w:spacing w:val="15"/>
          <w:lang w:val="en-GB"/>
        </w:rPr>
        <w:t>Center</w:t>
      </w:r>
      <w:proofErr w:type="spellEnd"/>
      <w:r w:rsidR="005867AC">
        <w:rPr>
          <w:rFonts w:eastAsiaTheme="minorEastAsia"/>
          <w:color w:val="4472C4" w:themeColor="accent5"/>
          <w:spacing w:val="15"/>
          <w:lang w:val="en-GB"/>
        </w:rPr>
        <w:t xml:space="preserve"> </w:t>
      </w:r>
      <w:r w:rsidR="005867AC" w:rsidRPr="00437C6E">
        <w:rPr>
          <w:rFonts w:eastAsiaTheme="minorEastAsia"/>
          <w:color w:val="4472C4" w:themeColor="accent5"/>
          <w:spacing w:val="15"/>
          <w:lang w:val="en-GB"/>
        </w:rPr>
        <w:t>and circulated.</w:t>
      </w:r>
    </w:p>
    <w:p w14:paraId="689C43B4" w14:textId="77777777" w:rsidR="006A3567" w:rsidRDefault="006A3567" w:rsidP="00907786">
      <w:pPr>
        <w:rPr>
          <w:rFonts w:eastAsiaTheme="minorEastAsia"/>
          <w:b/>
          <w:bCs/>
          <w:color w:val="4472C4" w:themeColor="accent5"/>
          <w:spacing w:val="15"/>
          <w:sz w:val="24"/>
          <w:szCs w:val="24"/>
          <w:lang w:val="en-GB"/>
        </w:rPr>
      </w:pPr>
    </w:p>
    <w:p w14:paraId="15F85B64" w14:textId="144549C4" w:rsidR="008E56F9" w:rsidRPr="00726F5F" w:rsidRDefault="008E56F9" w:rsidP="00907786">
      <w:pPr>
        <w:rPr>
          <w:rFonts w:eastAsiaTheme="minorEastAsia"/>
          <w:b/>
          <w:bCs/>
          <w:color w:val="4472C4" w:themeColor="accent5"/>
          <w:spacing w:val="15"/>
          <w:sz w:val="24"/>
          <w:szCs w:val="24"/>
          <w:lang w:val="en-GB"/>
        </w:rPr>
      </w:pPr>
      <w:r w:rsidRPr="00726F5F">
        <w:rPr>
          <w:rFonts w:eastAsiaTheme="minorEastAsia"/>
          <w:b/>
          <w:bCs/>
          <w:color w:val="4472C4" w:themeColor="accent5"/>
          <w:spacing w:val="15"/>
          <w:sz w:val="24"/>
          <w:szCs w:val="24"/>
          <w:lang w:val="en-GB"/>
        </w:rPr>
        <w:t>Recruitment</w:t>
      </w:r>
    </w:p>
    <w:p w14:paraId="0B6974E8" w14:textId="3877E3D9" w:rsidR="005867AC" w:rsidRPr="005867AC" w:rsidRDefault="008E56F9" w:rsidP="006A3567">
      <w:pPr>
        <w:rPr>
          <w:rFonts w:eastAsiaTheme="minorEastAsia"/>
          <w:color w:val="4472C4" w:themeColor="accent5"/>
          <w:spacing w:val="15"/>
          <w:lang w:val="en"/>
        </w:rPr>
      </w:pPr>
      <w:r>
        <w:rPr>
          <w:rFonts w:eastAsiaTheme="minorEastAsia"/>
          <w:color w:val="4472C4" w:themeColor="accent5"/>
          <w:spacing w:val="15"/>
          <w:lang w:val="en-GB"/>
        </w:rPr>
        <w:t>Concerning UNDP COs and Hub will be responsible for the recruitment process. TORs will be tailed by each CO and inclusive of the above responsibilitie</w:t>
      </w:r>
      <w:r w:rsidR="00C04040">
        <w:rPr>
          <w:rFonts w:eastAsiaTheme="minorEastAsia"/>
          <w:color w:val="4472C4" w:themeColor="accent5"/>
          <w:spacing w:val="15"/>
          <w:lang w:val="en-GB"/>
        </w:rPr>
        <w:t>s listed. Recruitment will take two to three</w:t>
      </w:r>
      <w:r>
        <w:rPr>
          <w:rFonts w:eastAsiaTheme="minorEastAsia"/>
          <w:color w:val="4472C4" w:themeColor="accent5"/>
          <w:spacing w:val="15"/>
          <w:lang w:val="en-GB"/>
        </w:rPr>
        <w:t xml:space="preserve"> months, and COs will be directed to finalize for a start date in January 2020. </w:t>
      </w:r>
    </w:p>
    <w:p w14:paraId="4DDE36E4" w14:textId="77777777" w:rsidR="006A3567" w:rsidRDefault="006A3567" w:rsidP="00437C6E">
      <w:pPr>
        <w:rPr>
          <w:rFonts w:eastAsiaTheme="minorEastAsia"/>
          <w:b/>
          <w:bCs/>
          <w:color w:val="4472C4" w:themeColor="accent5"/>
          <w:spacing w:val="15"/>
          <w:sz w:val="24"/>
          <w:szCs w:val="24"/>
          <w:lang w:val="en-GB"/>
        </w:rPr>
      </w:pPr>
    </w:p>
    <w:p w14:paraId="4CD7BC80" w14:textId="77777777" w:rsidR="00437C6E" w:rsidRDefault="00061321" w:rsidP="00437C6E">
      <w:pPr>
        <w:rPr>
          <w:rFonts w:eastAsiaTheme="minorEastAsia"/>
          <w:color w:val="4472C4" w:themeColor="accent5"/>
          <w:spacing w:val="15"/>
          <w:lang w:val="en"/>
        </w:rPr>
      </w:pPr>
      <w:r w:rsidRPr="00726F5F">
        <w:rPr>
          <w:rFonts w:eastAsiaTheme="minorEastAsia"/>
          <w:b/>
          <w:bCs/>
          <w:color w:val="4472C4" w:themeColor="accent5"/>
          <w:spacing w:val="15"/>
          <w:sz w:val="24"/>
          <w:szCs w:val="24"/>
          <w:lang w:val="en-GB"/>
        </w:rPr>
        <w:t>Budget</w:t>
      </w:r>
      <w:r>
        <w:rPr>
          <w:rFonts w:eastAsiaTheme="minorEastAsia"/>
          <w:color w:val="4472C4" w:themeColor="accent5"/>
          <w:spacing w:val="15"/>
          <w:lang w:val="en"/>
        </w:rPr>
        <w:t xml:space="preserve"> (attached) </w:t>
      </w:r>
    </w:p>
    <w:p w14:paraId="086ECA25" w14:textId="2B11C5FF" w:rsidR="008D72B8" w:rsidRDefault="00D87C93" w:rsidP="00C04040">
      <w:pPr>
        <w:rPr>
          <w:rFonts w:eastAsiaTheme="minorEastAsia"/>
          <w:color w:val="4472C4" w:themeColor="accent5"/>
          <w:spacing w:val="15"/>
          <w:lang w:val="en"/>
        </w:rPr>
      </w:pPr>
      <w:r>
        <w:rPr>
          <w:rFonts w:eastAsiaTheme="minorEastAsia"/>
          <w:color w:val="4472C4" w:themeColor="accent5"/>
          <w:spacing w:val="15"/>
          <w:lang w:val="en"/>
        </w:rPr>
        <w:t xml:space="preserve">The budget includes all expenses associated with staff recruitment </w:t>
      </w:r>
      <w:r w:rsidRPr="00D87C93">
        <w:rPr>
          <w:rFonts w:eastAsiaTheme="minorEastAsia"/>
          <w:color w:val="4472C4" w:themeColor="accent5"/>
          <w:spacing w:val="15"/>
          <w:lang w:val="en"/>
        </w:rPr>
        <w:t>at SC6 (SB3 entry level)</w:t>
      </w:r>
      <w:r>
        <w:rPr>
          <w:rFonts w:eastAsiaTheme="minorEastAsia"/>
          <w:color w:val="4472C4" w:themeColor="accent5"/>
          <w:spacing w:val="15"/>
          <w:lang w:val="en"/>
        </w:rPr>
        <w:t xml:space="preserve">, general operating expenses, administrative and direct project costs, </w:t>
      </w:r>
      <w:r w:rsidR="008E04EF">
        <w:rPr>
          <w:rFonts w:eastAsiaTheme="minorEastAsia"/>
          <w:color w:val="4472C4" w:themeColor="accent5"/>
          <w:spacing w:val="15"/>
          <w:lang w:val="en"/>
        </w:rPr>
        <w:t>coordination</w:t>
      </w:r>
      <w:r w:rsidR="00F72110">
        <w:rPr>
          <w:rFonts w:eastAsiaTheme="minorEastAsia"/>
          <w:color w:val="4472C4" w:themeColor="accent5"/>
          <w:spacing w:val="15"/>
          <w:lang w:val="en"/>
        </w:rPr>
        <w:t xml:space="preserve"> levy, </w:t>
      </w:r>
      <w:r>
        <w:rPr>
          <w:rFonts w:eastAsiaTheme="minorEastAsia"/>
          <w:color w:val="4472C4" w:themeColor="accent5"/>
          <w:spacing w:val="15"/>
          <w:lang w:val="en"/>
        </w:rPr>
        <w:t>as well as associated travel expenses</w:t>
      </w:r>
      <w:r w:rsidR="00993EBC">
        <w:rPr>
          <w:rFonts w:eastAsiaTheme="minorEastAsia"/>
          <w:color w:val="4472C4" w:themeColor="accent5"/>
          <w:spacing w:val="15"/>
          <w:lang w:val="en"/>
        </w:rPr>
        <w:t xml:space="preserve">. </w:t>
      </w:r>
      <w:r w:rsidR="002467CA">
        <w:rPr>
          <w:rFonts w:eastAsiaTheme="minorEastAsia"/>
          <w:color w:val="4472C4" w:themeColor="accent5"/>
          <w:spacing w:val="15"/>
          <w:lang w:val="en"/>
        </w:rPr>
        <w:t xml:space="preserve">The total amount is for $295,837 US. </w:t>
      </w:r>
      <w:r w:rsidR="00993EBC">
        <w:rPr>
          <w:rFonts w:eastAsiaTheme="minorEastAsia"/>
          <w:color w:val="4472C4" w:themeColor="accent5"/>
          <w:spacing w:val="15"/>
          <w:lang w:val="en"/>
        </w:rPr>
        <w:t xml:space="preserve">The </w:t>
      </w:r>
      <w:r>
        <w:rPr>
          <w:rFonts w:eastAsiaTheme="minorEastAsia"/>
          <w:color w:val="4472C4" w:themeColor="accent5"/>
          <w:spacing w:val="15"/>
          <w:lang w:val="en"/>
        </w:rPr>
        <w:t>induction and closing meetings (in Amman and Abu Dhabi</w:t>
      </w:r>
      <w:r w:rsidR="00993EBC">
        <w:rPr>
          <w:rFonts w:eastAsiaTheme="minorEastAsia"/>
          <w:color w:val="4472C4" w:themeColor="accent5"/>
          <w:spacing w:val="15"/>
          <w:lang w:val="en"/>
        </w:rPr>
        <w:t>) will be</w:t>
      </w:r>
      <w:r w:rsidR="008E04EF">
        <w:rPr>
          <w:rFonts w:eastAsiaTheme="minorEastAsia"/>
          <w:color w:val="4472C4" w:themeColor="accent5"/>
          <w:spacing w:val="15"/>
          <w:lang w:val="en"/>
        </w:rPr>
        <w:t xml:space="preserve"> organized by UNDP and AYC. AYC </w:t>
      </w:r>
      <w:r w:rsidR="00F928DB">
        <w:rPr>
          <w:rFonts w:eastAsiaTheme="minorEastAsia"/>
          <w:color w:val="4472C4" w:themeColor="accent5"/>
          <w:spacing w:val="15"/>
          <w:lang w:val="en"/>
        </w:rPr>
        <w:t>will cover</w:t>
      </w:r>
      <w:r w:rsidR="008E04EF">
        <w:rPr>
          <w:rFonts w:eastAsiaTheme="minorEastAsia"/>
          <w:color w:val="4472C4" w:themeColor="accent5"/>
          <w:spacing w:val="15"/>
          <w:lang w:val="en"/>
        </w:rPr>
        <w:t xml:space="preserve"> associated</w:t>
      </w:r>
      <w:r w:rsidR="00F928DB" w:rsidRPr="00F928DB">
        <w:rPr>
          <w:rFonts w:eastAsiaTheme="minorEastAsia"/>
          <w:color w:val="4472C4" w:themeColor="accent5"/>
          <w:spacing w:val="15"/>
          <w:lang w:val="en"/>
        </w:rPr>
        <w:t xml:space="preserve"> </w:t>
      </w:r>
      <w:r w:rsidR="00F928DB">
        <w:rPr>
          <w:rFonts w:eastAsiaTheme="minorEastAsia"/>
          <w:color w:val="4472C4" w:themeColor="accent5"/>
          <w:spacing w:val="15"/>
          <w:lang w:val="en"/>
        </w:rPr>
        <w:t>costs separate of the budget</w:t>
      </w:r>
      <w:r w:rsidR="008E04EF">
        <w:rPr>
          <w:rFonts w:eastAsiaTheme="minorEastAsia"/>
          <w:color w:val="4472C4" w:themeColor="accent5"/>
          <w:spacing w:val="15"/>
          <w:lang w:val="en"/>
        </w:rPr>
        <w:t xml:space="preserve">. </w:t>
      </w:r>
      <w:r w:rsidR="00120F46">
        <w:rPr>
          <w:rFonts w:eastAsiaTheme="minorEastAsia"/>
          <w:color w:val="4472C4" w:themeColor="accent5"/>
          <w:spacing w:val="15"/>
          <w:lang w:val="en"/>
        </w:rPr>
        <w:t>This will include covering the cost of both youth and their supervisors</w:t>
      </w:r>
      <w:r w:rsidR="006D28DB">
        <w:rPr>
          <w:rFonts w:eastAsiaTheme="minorEastAsia"/>
          <w:color w:val="4472C4" w:themeColor="accent5"/>
          <w:spacing w:val="15"/>
          <w:lang w:val="en"/>
        </w:rPr>
        <w:t xml:space="preserve"> (flight, ticket and visa fees) for the induction event and only for the youth and selected UNDP staff for the closing event (flight, ticket and visa fees) </w:t>
      </w:r>
    </w:p>
    <w:p w14:paraId="60ECB53F" w14:textId="77777777" w:rsidR="006A3567" w:rsidRDefault="006A3567" w:rsidP="00F928DB">
      <w:pPr>
        <w:rPr>
          <w:rFonts w:eastAsiaTheme="minorEastAsia"/>
          <w:b/>
          <w:bCs/>
          <w:color w:val="4472C4" w:themeColor="accent5"/>
          <w:spacing w:val="15"/>
          <w:sz w:val="24"/>
          <w:szCs w:val="24"/>
          <w:lang w:val="en-GB"/>
        </w:rPr>
      </w:pPr>
    </w:p>
    <w:p w14:paraId="4B6B2EBD" w14:textId="6CB8CBC9" w:rsidR="008D72B8" w:rsidRPr="00726F5F" w:rsidRDefault="008D72B8" w:rsidP="00F928DB">
      <w:pPr>
        <w:rPr>
          <w:rFonts w:eastAsiaTheme="minorEastAsia"/>
          <w:b/>
          <w:bCs/>
          <w:color w:val="4472C4" w:themeColor="accent5"/>
          <w:spacing w:val="15"/>
          <w:sz w:val="24"/>
          <w:szCs w:val="24"/>
          <w:lang w:val="en-GB"/>
        </w:rPr>
      </w:pPr>
      <w:r w:rsidRPr="00726F5F">
        <w:rPr>
          <w:rFonts w:eastAsiaTheme="minorEastAsia"/>
          <w:b/>
          <w:bCs/>
          <w:color w:val="4472C4" w:themeColor="accent5"/>
          <w:spacing w:val="15"/>
          <w:sz w:val="24"/>
          <w:szCs w:val="24"/>
          <w:lang w:val="en-GB"/>
        </w:rPr>
        <w:t>Innovations Grant Proposals</w:t>
      </w:r>
    </w:p>
    <w:p w14:paraId="6A6CBD04" w14:textId="73F22BB8" w:rsidR="006A3567" w:rsidRDefault="008D72B8" w:rsidP="006A3567">
      <w:pPr>
        <w:rPr>
          <w:rFonts w:eastAsiaTheme="minorEastAsia"/>
          <w:color w:val="4472C4" w:themeColor="accent5"/>
          <w:spacing w:val="15"/>
          <w:lang w:val="en"/>
        </w:rPr>
      </w:pPr>
      <w:r>
        <w:rPr>
          <w:rFonts w:eastAsiaTheme="minorEastAsia"/>
          <w:color w:val="4472C4" w:themeColor="accent5"/>
          <w:spacing w:val="15"/>
          <w:lang w:val="en"/>
        </w:rPr>
        <w:t>AYC will invite youth delegates to submit proposals for</w:t>
      </w:r>
      <w:r w:rsidR="00D87C93">
        <w:rPr>
          <w:rFonts w:eastAsiaTheme="minorEastAsia"/>
          <w:color w:val="4472C4" w:themeColor="accent5"/>
          <w:spacing w:val="15"/>
          <w:lang w:val="en"/>
        </w:rPr>
        <w:t xml:space="preserve"> </w:t>
      </w:r>
      <w:r>
        <w:rPr>
          <w:rFonts w:eastAsiaTheme="minorEastAsia"/>
          <w:color w:val="4472C4" w:themeColor="accent5"/>
          <w:spacing w:val="15"/>
          <w:lang w:val="en"/>
        </w:rPr>
        <w:t>possible</w:t>
      </w:r>
      <w:r w:rsidR="00C04040">
        <w:rPr>
          <w:rFonts w:eastAsiaTheme="minorEastAsia"/>
          <w:color w:val="4472C4" w:themeColor="accent5"/>
          <w:spacing w:val="15"/>
          <w:lang w:val="en"/>
        </w:rPr>
        <w:t xml:space="preserve"> funding</w:t>
      </w:r>
      <w:r>
        <w:rPr>
          <w:rFonts w:eastAsiaTheme="minorEastAsia"/>
          <w:color w:val="4472C4" w:themeColor="accent5"/>
          <w:spacing w:val="15"/>
          <w:lang w:val="en"/>
        </w:rPr>
        <w:t xml:space="preserve"> </w:t>
      </w:r>
      <w:r w:rsidR="008E04EF">
        <w:rPr>
          <w:rFonts w:eastAsiaTheme="minorEastAsia"/>
          <w:color w:val="4472C4" w:themeColor="accent5"/>
          <w:spacing w:val="15"/>
          <w:lang w:val="en"/>
        </w:rPr>
        <w:t xml:space="preserve">on a rolling-basis. The youth will submit a proposal </w:t>
      </w:r>
      <w:r w:rsidR="00D87C93">
        <w:rPr>
          <w:rFonts w:eastAsiaTheme="minorEastAsia"/>
          <w:color w:val="4472C4" w:themeColor="accent5"/>
          <w:spacing w:val="15"/>
          <w:lang w:val="en"/>
        </w:rPr>
        <w:t xml:space="preserve">based on their agreement with the UNDP </w:t>
      </w:r>
      <w:r>
        <w:rPr>
          <w:rFonts w:eastAsiaTheme="minorEastAsia"/>
          <w:color w:val="4472C4" w:themeColor="accent5"/>
          <w:spacing w:val="15"/>
          <w:lang w:val="en"/>
        </w:rPr>
        <w:t xml:space="preserve">Country </w:t>
      </w:r>
      <w:r w:rsidR="00D87C93">
        <w:rPr>
          <w:rFonts w:eastAsiaTheme="minorEastAsia"/>
          <w:color w:val="4472C4" w:themeColor="accent5"/>
          <w:spacing w:val="15"/>
          <w:lang w:val="en"/>
        </w:rPr>
        <w:t>Focal Point</w:t>
      </w:r>
      <w:r w:rsidR="00F928DB">
        <w:rPr>
          <w:rFonts w:eastAsiaTheme="minorEastAsia"/>
          <w:color w:val="4472C4" w:themeColor="accent5"/>
          <w:spacing w:val="15"/>
          <w:lang w:val="en"/>
        </w:rPr>
        <w:t xml:space="preserve"> nationally. A steering committee inclusive of UNDP and AYC will be created to </w:t>
      </w:r>
      <w:r w:rsidR="00F928DB">
        <w:rPr>
          <w:rFonts w:eastAsiaTheme="minorEastAsia"/>
          <w:color w:val="4472C4" w:themeColor="accent5"/>
          <w:spacing w:val="15"/>
          <w:lang w:val="en"/>
        </w:rPr>
        <w:lastRenderedPageBreak/>
        <w:t>review proposals for funding by AYC.</w:t>
      </w:r>
      <w:r>
        <w:rPr>
          <w:rFonts w:eastAsiaTheme="minorEastAsia"/>
          <w:color w:val="4472C4" w:themeColor="accent5"/>
          <w:spacing w:val="15"/>
          <w:lang w:val="en"/>
        </w:rPr>
        <w:t xml:space="preserve"> AYC may or may not fund submitted </w:t>
      </w:r>
      <w:r w:rsidR="008E56F9">
        <w:rPr>
          <w:rFonts w:eastAsiaTheme="minorEastAsia"/>
          <w:color w:val="4472C4" w:themeColor="accent5"/>
          <w:spacing w:val="15"/>
          <w:lang w:val="en"/>
        </w:rPr>
        <w:t>proposals pending available resources and aligni</w:t>
      </w:r>
      <w:r>
        <w:rPr>
          <w:rFonts w:eastAsiaTheme="minorEastAsia"/>
          <w:color w:val="4472C4" w:themeColor="accent5"/>
          <w:spacing w:val="15"/>
          <w:lang w:val="en"/>
        </w:rPr>
        <w:t xml:space="preserve">ng objectives of the proposals. Funding will not exceed $250,000 for all proposals submitted. A steering committee will be established the first quarter of 2020. </w:t>
      </w:r>
    </w:p>
    <w:p w14:paraId="2C841906" w14:textId="77777777" w:rsidR="006A3567" w:rsidRPr="006A3567" w:rsidRDefault="006A3567" w:rsidP="006A3567">
      <w:pPr>
        <w:rPr>
          <w:rFonts w:eastAsiaTheme="minorEastAsia"/>
          <w:color w:val="4472C4" w:themeColor="accent5"/>
          <w:spacing w:val="15"/>
          <w:lang w:val="en"/>
        </w:rPr>
      </w:pPr>
      <w:bookmarkStart w:id="0" w:name="_GoBack"/>
      <w:bookmarkEnd w:id="0"/>
    </w:p>
    <w:p w14:paraId="59281ADA" w14:textId="402BCD1C" w:rsidR="00726F5F" w:rsidRPr="00726F5F" w:rsidRDefault="00726F5F" w:rsidP="008D72B8">
      <w:pPr>
        <w:rPr>
          <w:rFonts w:eastAsiaTheme="minorEastAsia"/>
          <w:b/>
          <w:bCs/>
          <w:color w:val="4472C4" w:themeColor="accent5"/>
          <w:spacing w:val="15"/>
          <w:sz w:val="24"/>
          <w:szCs w:val="24"/>
          <w:lang w:val="en-GB"/>
        </w:rPr>
      </w:pPr>
      <w:r w:rsidRPr="00726F5F">
        <w:rPr>
          <w:rFonts w:eastAsiaTheme="minorEastAsia"/>
          <w:b/>
          <w:bCs/>
          <w:color w:val="4472C4" w:themeColor="accent5"/>
          <w:spacing w:val="15"/>
          <w:sz w:val="24"/>
          <w:szCs w:val="24"/>
          <w:lang w:val="en-GB"/>
        </w:rPr>
        <w:t>Reporting</w:t>
      </w:r>
    </w:p>
    <w:p w14:paraId="175E9E04" w14:textId="77777777" w:rsidR="00726F5F" w:rsidRPr="00726F5F" w:rsidRDefault="00726F5F" w:rsidP="00726F5F">
      <w:pPr>
        <w:rPr>
          <w:rFonts w:eastAsiaTheme="minorEastAsia"/>
          <w:color w:val="4472C4" w:themeColor="accent5"/>
          <w:spacing w:val="15"/>
        </w:rPr>
      </w:pPr>
      <w:r w:rsidRPr="00726F5F">
        <w:rPr>
          <w:rFonts w:eastAsiaTheme="minorEastAsia"/>
          <w:color w:val="4472C4" w:themeColor="accent5"/>
          <w:spacing w:val="15"/>
        </w:rPr>
        <w:t>Each participant of the program will submit a final project, paper, or report related to youth in their countries and relevant to the work they have done with UNDP and submitted to UNDP coordinator in Amman, who will share with AYC all the submissions.  The decision of the topic and details this assignment sits fully with UNDP country offices. This deliverable will be considered a requirement for graduating the Arab Youth Delegates Program.</w:t>
      </w:r>
    </w:p>
    <w:p w14:paraId="729B056B" w14:textId="77777777" w:rsidR="00726F5F" w:rsidRPr="00437C6E" w:rsidRDefault="00726F5F" w:rsidP="008D72B8">
      <w:pPr>
        <w:rPr>
          <w:rFonts w:eastAsiaTheme="minorEastAsia"/>
          <w:color w:val="4472C4" w:themeColor="accent5"/>
          <w:spacing w:val="15"/>
          <w:lang w:val="en"/>
        </w:rPr>
      </w:pPr>
    </w:p>
    <w:sectPr w:rsidR="00726F5F" w:rsidRPr="0043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F6CF6"/>
    <w:multiLevelType w:val="hybridMultilevel"/>
    <w:tmpl w:val="4A0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35F47"/>
    <w:multiLevelType w:val="multilevel"/>
    <w:tmpl w:val="CA2806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7B"/>
    <w:rsid w:val="00026491"/>
    <w:rsid w:val="00061321"/>
    <w:rsid w:val="00120F46"/>
    <w:rsid w:val="002111E3"/>
    <w:rsid w:val="00217D1A"/>
    <w:rsid w:val="002467CA"/>
    <w:rsid w:val="002B79BE"/>
    <w:rsid w:val="00381703"/>
    <w:rsid w:val="003829D3"/>
    <w:rsid w:val="003C0202"/>
    <w:rsid w:val="00437C6E"/>
    <w:rsid w:val="00551AC6"/>
    <w:rsid w:val="005867AC"/>
    <w:rsid w:val="0067631A"/>
    <w:rsid w:val="006A3567"/>
    <w:rsid w:val="006D28DB"/>
    <w:rsid w:val="00726F5F"/>
    <w:rsid w:val="00761B41"/>
    <w:rsid w:val="008D72B8"/>
    <w:rsid w:val="008E04EF"/>
    <w:rsid w:val="008E56F9"/>
    <w:rsid w:val="00907786"/>
    <w:rsid w:val="00993EBC"/>
    <w:rsid w:val="009E2102"/>
    <w:rsid w:val="00A43565"/>
    <w:rsid w:val="00A51BA9"/>
    <w:rsid w:val="00A64014"/>
    <w:rsid w:val="00C04040"/>
    <w:rsid w:val="00C2477B"/>
    <w:rsid w:val="00CA7496"/>
    <w:rsid w:val="00D87C93"/>
    <w:rsid w:val="00E40050"/>
    <w:rsid w:val="00F72110"/>
    <w:rsid w:val="00F92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6D05"/>
  <w15:chartTrackingRefBased/>
  <w15:docId w15:val="{B2E5DD21-6F9F-4B65-BFD7-7658C819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4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477B"/>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C247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477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7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1A"/>
    <w:rPr>
      <w:rFonts w:ascii="Segoe UI" w:hAnsi="Segoe UI" w:cs="Segoe UI"/>
      <w:sz w:val="18"/>
      <w:szCs w:val="18"/>
    </w:rPr>
  </w:style>
  <w:style w:type="character" w:styleId="CommentReference">
    <w:name w:val="annotation reference"/>
    <w:basedOn w:val="DefaultParagraphFont"/>
    <w:uiPriority w:val="99"/>
    <w:semiHidden/>
    <w:unhideWhenUsed/>
    <w:rsid w:val="0067631A"/>
    <w:rPr>
      <w:sz w:val="16"/>
      <w:szCs w:val="16"/>
    </w:rPr>
  </w:style>
  <w:style w:type="paragraph" w:styleId="CommentText">
    <w:name w:val="annotation text"/>
    <w:basedOn w:val="Normal"/>
    <w:link w:val="CommentTextChar"/>
    <w:uiPriority w:val="99"/>
    <w:semiHidden/>
    <w:unhideWhenUsed/>
    <w:rsid w:val="0067631A"/>
    <w:pPr>
      <w:spacing w:line="240" w:lineRule="auto"/>
    </w:pPr>
    <w:rPr>
      <w:sz w:val="20"/>
      <w:szCs w:val="20"/>
    </w:rPr>
  </w:style>
  <w:style w:type="character" w:customStyle="1" w:styleId="CommentTextChar">
    <w:name w:val="Comment Text Char"/>
    <w:basedOn w:val="DefaultParagraphFont"/>
    <w:link w:val="CommentText"/>
    <w:uiPriority w:val="99"/>
    <w:semiHidden/>
    <w:rsid w:val="0067631A"/>
    <w:rPr>
      <w:sz w:val="20"/>
      <w:szCs w:val="20"/>
    </w:rPr>
  </w:style>
  <w:style w:type="paragraph" w:styleId="CommentSubject">
    <w:name w:val="annotation subject"/>
    <w:basedOn w:val="CommentText"/>
    <w:next w:val="CommentText"/>
    <w:link w:val="CommentSubjectChar"/>
    <w:uiPriority w:val="99"/>
    <w:semiHidden/>
    <w:unhideWhenUsed/>
    <w:rsid w:val="0067631A"/>
    <w:rPr>
      <w:b/>
      <w:bCs/>
    </w:rPr>
  </w:style>
  <w:style w:type="character" w:customStyle="1" w:styleId="CommentSubjectChar">
    <w:name w:val="Comment Subject Char"/>
    <w:basedOn w:val="CommentTextChar"/>
    <w:link w:val="CommentSubject"/>
    <w:uiPriority w:val="99"/>
    <w:semiHidden/>
    <w:rsid w:val="0067631A"/>
    <w:rPr>
      <w:b/>
      <w:bCs/>
      <w:sz w:val="20"/>
      <w:szCs w:val="20"/>
    </w:rPr>
  </w:style>
  <w:style w:type="paragraph" w:styleId="ListParagraph">
    <w:name w:val="List Paragraph"/>
    <w:basedOn w:val="Normal"/>
    <w:uiPriority w:val="34"/>
    <w:qFormat/>
    <w:rsid w:val="0067631A"/>
    <w:pPr>
      <w:ind w:left="720"/>
      <w:contextualSpacing/>
    </w:pPr>
  </w:style>
  <w:style w:type="table" w:styleId="TableGrid">
    <w:name w:val="Table Grid"/>
    <w:basedOn w:val="TableNormal"/>
    <w:uiPriority w:val="39"/>
    <w:rsid w:val="006A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A35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2019-11-14T11:00:00+00:00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2019-03-31T04:00:00+00:00</Document_x0020_Coverage_x0020_Period_x0020_Start_x0020_Date>
    <Document_x0020_Coverage_x0020_Period_x0020_End_x0020_Date xmlns="f1161f5b-24a3-4c2d-bc81-44cb9325e8ee">2020-02-29T05:00:00+00:00</Document_x0020_Coverage_x0020_Period_x0020_End_x0020_Date>
    <Project_x0020_Number xmlns="f1161f5b-24a3-4c2d-bc81-44cb9325e8ee" xsi:nil="true"/>
    <Project_x0020_Manager xmlns="f1161f5b-24a3-4c2d-bc81-44cb9325e8ee" xsi:nil="true"/>
    <TaxCatchAll xmlns="1ed4137b-41b2-488b-8250-6d369ec27664">
      <Value>1394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00117942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ATLASPDC-4-108444</_dlc_DocId>
    <_dlc_DocIdUrl xmlns="f1161f5b-24a3-4c2d-bc81-44cb9325e8ee">
      <Url>https://info.undp.org/docs/pdc/_layouts/DocIdRedir.aspx?ID=ATLASPDC-4-108444</Url>
      <Description>ATLASPDC-4-108444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62A0C77-9FD5-4E35-9120-99A94061D5A3}"/>
</file>

<file path=customXml/itemProps2.xml><?xml version="1.0" encoding="utf-8"?>
<ds:datastoreItem xmlns:ds="http://schemas.openxmlformats.org/officeDocument/2006/customXml" ds:itemID="{1230072C-627D-4284-AA8F-DA972D613732}"/>
</file>

<file path=customXml/itemProps3.xml><?xml version="1.0" encoding="utf-8"?>
<ds:datastoreItem xmlns:ds="http://schemas.openxmlformats.org/officeDocument/2006/customXml" ds:itemID="{E973F133-B2FB-4786-B90E-EA73936F35C9}"/>
</file>

<file path=customXml/itemProps4.xml><?xml version="1.0" encoding="utf-8"?>
<ds:datastoreItem xmlns:ds="http://schemas.openxmlformats.org/officeDocument/2006/customXml" ds:itemID="{E97DFCFE-9D7D-416A-8612-956700A40135}"/>
</file>

<file path=customXml/itemProps5.xml><?xml version="1.0" encoding="utf-8"?>
<ds:datastoreItem xmlns:ds="http://schemas.openxmlformats.org/officeDocument/2006/customXml" ds:itemID="{EB92F8DA-58A0-4687-9CFE-2F4823B18BA5}"/>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dc:title>
  <dc:subject/>
  <dc:creator>UNDP</dc:creator>
  <cp:keywords/>
  <dc:description/>
  <cp:lastModifiedBy>Linda Haddad</cp:lastModifiedBy>
  <cp:revision>3</cp:revision>
  <cp:lastPrinted>2019-08-22T06:41:00Z</cp:lastPrinted>
  <dcterms:created xsi:type="dcterms:W3CDTF">2019-09-17T08:03:00Z</dcterms:created>
  <dcterms:modified xsi:type="dcterms:W3CDTF">2019-09-18T06:15:00Z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dbfcdb09-62ee-4cd6-a27e-471ea2b8b5f6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